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64" w:rsidRPr="00416B64" w:rsidRDefault="00416B64" w:rsidP="00416B64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6B64">
        <w:rPr>
          <w:rFonts w:asciiTheme="minorHAnsi" w:hAnsiTheme="minorHAnsi" w:cstheme="minorHAnsi"/>
          <w:b/>
          <w:sz w:val="28"/>
          <w:szCs w:val="28"/>
        </w:rPr>
        <w:t>COMUNICADO INSTITUCIONAL</w:t>
      </w:r>
    </w:p>
    <w:p w:rsidR="00416B64" w:rsidRPr="00416B64" w:rsidRDefault="000C4887" w:rsidP="00416B64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16B64">
        <w:rPr>
          <w:rFonts w:asciiTheme="minorHAnsi" w:hAnsiTheme="minorHAnsi" w:cstheme="minorHAnsi"/>
        </w:rPr>
        <w:t xml:space="preserve">Desde la Dirección de Derechos Humanos de la Universidad Nacional de La Plata, </w:t>
      </w:r>
      <w:r w:rsidR="003F785B" w:rsidRPr="00416B64">
        <w:rPr>
          <w:rFonts w:asciiTheme="minorHAnsi" w:hAnsiTheme="minorHAnsi" w:cstheme="minorHAnsi"/>
        </w:rPr>
        <w:t xml:space="preserve">manifestamos nuestra profunda preocupación por las </w:t>
      </w:r>
      <w:r w:rsidRPr="00416B64">
        <w:rPr>
          <w:rFonts w:asciiTheme="minorHAnsi" w:hAnsiTheme="minorHAnsi" w:cstheme="minorHAnsi"/>
        </w:rPr>
        <w:t xml:space="preserve">consideraciones vertidas en el fallo que ha tomado estado público, </w:t>
      </w:r>
      <w:r w:rsidR="003F785B" w:rsidRPr="00416B64">
        <w:rPr>
          <w:rFonts w:asciiTheme="minorHAnsi" w:hAnsiTheme="minorHAnsi" w:cstheme="minorHAnsi"/>
        </w:rPr>
        <w:t>suscripto  por los Dres</w:t>
      </w:r>
      <w:r w:rsidR="005A69B0" w:rsidRPr="00416B64">
        <w:rPr>
          <w:rFonts w:asciiTheme="minorHAnsi" w:hAnsiTheme="minorHAnsi" w:cstheme="minorHAnsi"/>
        </w:rPr>
        <w:t>.</w:t>
      </w:r>
      <w:r w:rsidR="003F785B" w:rsidRPr="00416B64">
        <w:rPr>
          <w:rFonts w:asciiTheme="minorHAnsi" w:hAnsiTheme="minorHAnsi" w:cstheme="minorHAnsi"/>
        </w:rPr>
        <w:t xml:space="preserve"> Sal Llagues y Piombo, camaristas de la Cámara de Casación Penal de La Plata. </w:t>
      </w:r>
    </w:p>
    <w:p w:rsidR="00416B64" w:rsidRDefault="003F785B" w:rsidP="00416B64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16B64">
        <w:rPr>
          <w:rFonts w:asciiTheme="minorHAnsi" w:hAnsiTheme="minorHAnsi" w:cstheme="minorHAnsi"/>
        </w:rPr>
        <w:t xml:space="preserve">Los argumentos utilizados por los magistrados para morigerar la pena del adulto condenado por el abuso contra un niño, </w:t>
      </w:r>
      <w:r w:rsidR="000C4887" w:rsidRPr="00416B64">
        <w:rPr>
          <w:rFonts w:asciiTheme="minorHAnsi" w:hAnsiTheme="minorHAnsi" w:cstheme="minorHAnsi"/>
        </w:rPr>
        <w:t xml:space="preserve">resultan de una gravedad mayúscula, y violatorias de principios constitucionales y tratados internacionales de </w:t>
      </w:r>
      <w:r w:rsidR="00987768" w:rsidRPr="00416B64">
        <w:rPr>
          <w:rFonts w:asciiTheme="minorHAnsi" w:hAnsiTheme="minorHAnsi" w:cstheme="minorHAnsi"/>
        </w:rPr>
        <w:t>Derechos Humanos</w:t>
      </w:r>
      <w:r w:rsidRPr="00416B64">
        <w:rPr>
          <w:rFonts w:asciiTheme="minorHAnsi" w:hAnsiTheme="minorHAnsi" w:cstheme="minorHAnsi"/>
        </w:rPr>
        <w:t xml:space="preserve">, por su contenido homofóbico y </w:t>
      </w:r>
      <w:r w:rsidR="00823C97" w:rsidRPr="00416B64">
        <w:rPr>
          <w:rFonts w:asciiTheme="minorHAnsi" w:hAnsiTheme="minorHAnsi" w:cstheme="minorHAnsi"/>
        </w:rPr>
        <w:t xml:space="preserve">discriminatorio. </w:t>
      </w:r>
    </w:p>
    <w:p w:rsidR="000C4887" w:rsidRPr="00416B64" w:rsidRDefault="000C4887" w:rsidP="00416B64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16B64">
        <w:rPr>
          <w:rFonts w:asciiTheme="minorHAnsi" w:hAnsiTheme="minorHAnsi" w:cstheme="minorHAnsi"/>
        </w:rPr>
        <w:t>Las apreciaciones sobre la existencia de una opción sexual por parte de un niño de seis años abusado en reiteradas oportunidades</w:t>
      </w:r>
      <w:r w:rsidR="005A69B0" w:rsidRPr="00416B64">
        <w:rPr>
          <w:rFonts w:asciiTheme="minorHAnsi" w:hAnsiTheme="minorHAnsi" w:cstheme="minorHAnsi"/>
        </w:rPr>
        <w:t>,</w:t>
      </w:r>
      <w:r w:rsidR="00C37355" w:rsidRPr="00416B64">
        <w:rPr>
          <w:rFonts w:asciiTheme="minorHAnsi" w:hAnsiTheme="minorHAnsi" w:cstheme="minorHAnsi"/>
        </w:rPr>
        <w:t xml:space="preserve"> y</w:t>
      </w:r>
      <w:r w:rsidRPr="00416B64">
        <w:rPr>
          <w:rFonts w:asciiTheme="minorHAnsi" w:hAnsiTheme="minorHAnsi" w:cstheme="minorHAnsi"/>
        </w:rPr>
        <w:t xml:space="preserve"> las justificaciones que de</w:t>
      </w:r>
      <w:r w:rsidR="005A69B0" w:rsidRPr="00416B64">
        <w:rPr>
          <w:rFonts w:asciiTheme="minorHAnsi" w:hAnsiTheme="minorHAnsi" w:cstheme="minorHAnsi"/>
        </w:rPr>
        <w:t xml:space="preserve"> </w:t>
      </w:r>
      <w:r w:rsidRPr="00416B64">
        <w:rPr>
          <w:rFonts w:asciiTheme="minorHAnsi" w:hAnsiTheme="minorHAnsi" w:cstheme="minorHAnsi"/>
        </w:rPr>
        <w:t>allí resultan para colegir que el daño producido</w:t>
      </w:r>
      <w:r w:rsidR="00373DAE" w:rsidRPr="00416B64">
        <w:rPr>
          <w:rFonts w:asciiTheme="minorHAnsi" w:hAnsiTheme="minorHAnsi" w:cstheme="minorHAnsi"/>
        </w:rPr>
        <w:t xml:space="preserve"> en el niño</w:t>
      </w:r>
      <w:r w:rsidRPr="00416B64">
        <w:rPr>
          <w:rFonts w:asciiTheme="minorHAnsi" w:hAnsiTheme="minorHAnsi" w:cstheme="minorHAnsi"/>
        </w:rPr>
        <w:t xml:space="preserve"> no tiene la entidad suficiente para resultar gravemente ultrajante</w:t>
      </w:r>
      <w:r w:rsidR="00373DAE" w:rsidRPr="00416B64">
        <w:rPr>
          <w:rFonts w:asciiTheme="minorHAnsi" w:hAnsiTheme="minorHAnsi" w:cstheme="minorHAnsi"/>
        </w:rPr>
        <w:t xml:space="preserve">, </w:t>
      </w:r>
      <w:r w:rsidRPr="00416B64">
        <w:rPr>
          <w:rFonts w:asciiTheme="minorHAnsi" w:hAnsiTheme="minorHAnsi" w:cstheme="minorHAnsi"/>
        </w:rPr>
        <w:t>resultan perversas y demuestran, una vez más, los límites y prejuicios</w:t>
      </w:r>
      <w:r w:rsidR="00987768" w:rsidRPr="00416B64">
        <w:rPr>
          <w:rFonts w:asciiTheme="minorHAnsi" w:hAnsiTheme="minorHAnsi" w:cstheme="minorHAnsi"/>
        </w:rPr>
        <w:t xml:space="preserve"> </w:t>
      </w:r>
      <w:r w:rsidR="00087C2D" w:rsidRPr="00416B64">
        <w:rPr>
          <w:rFonts w:asciiTheme="minorHAnsi" w:hAnsiTheme="minorHAnsi" w:cstheme="minorHAnsi"/>
        </w:rPr>
        <w:t>sexistas y clasistas</w:t>
      </w:r>
      <w:r w:rsidR="00987768" w:rsidRPr="00416B64">
        <w:rPr>
          <w:rFonts w:asciiTheme="minorHAnsi" w:hAnsiTheme="minorHAnsi" w:cstheme="minorHAnsi"/>
        </w:rPr>
        <w:t xml:space="preserve"> </w:t>
      </w:r>
      <w:r w:rsidRPr="00416B64">
        <w:rPr>
          <w:rFonts w:asciiTheme="minorHAnsi" w:hAnsiTheme="minorHAnsi" w:cstheme="minorHAnsi"/>
        </w:rPr>
        <w:t xml:space="preserve"> de la mirada judicial sobre una problemática tan grave como es el de los niños y niñas abusados </w:t>
      </w:r>
      <w:r w:rsidR="00087C2D" w:rsidRPr="00416B64">
        <w:rPr>
          <w:rFonts w:asciiTheme="minorHAnsi" w:hAnsiTheme="minorHAnsi" w:cstheme="minorHAnsi"/>
        </w:rPr>
        <w:t xml:space="preserve">sexualmente </w:t>
      </w:r>
      <w:r w:rsidRPr="00416B64">
        <w:rPr>
          <w:rFonts w:asciiTheme="minorHAnsi" w:hAnsiTheme="minorHAnsi" w:cstheme="minorHAnsi"/>
        </w:rPr>
        <w:t>por adultos.</w:t>
      </w:r>
      <w:r w:rsidR="005A69B0" w:rsidRPr="00416B64">
        <w:rPr>
          <w:rStyle w:val="Refdenotaalpie"/>
          <w:rFonts w:asciiTheme="minorHAnsi" w:hAnsiTheme="minorHAnsi" w:cstheme="minorHAnsi"/>
        </w:rPr>
        <w:footnoteReference w:id="1"/>
      </w:r>
      <w:r w:rsidRPr="00416B64">
        <w:rPr>
          <w:rFonts w:asciiTheme="minorHAnsi" w:hAnsiTheme="minorHAnsi" w:cstheme="minorHAnsi"/>
        </w:rPr>
        <w:t xml:space="preserve"> </w:t>
      </w:r>
    </w:p>
    <w:p w:rsidR="00416B64" w:rsidRDefault="00087C2D" w:rsidP="00416B6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16B64">
        <w:rPr>
          <w:rFonts w:cstheme="minorHAnsi"/>
          <w:sz w:val="24"/>
          <w:szCs w:val="24"/>
        </w:rPr>
        <w:t>Es alarmante</w:t>
      </w:r>
      <w:r w:rsidR="00823C97" w:rsidRPr="00416B64">
        <w:rPr>
          <w:rFonts w:cstheme="minorHAnsi"/>
          <w:sz w:val="24"/>
          <w:szCs w:val="24"/>
        </w:rPr>
        <w:t xml:space="preserve"> que aún hoy, magistrados del Poder Judicial </w:t>
      </w:r>
      <w:r w:rsidR="000C4887" w:rsidRPr="00416B64">
        <w:rPr>
          <w:rFonts w:cstheme="minorHAnsi"/>
          <w:sz w:val="24"/>
          <w:szCs w:val="24"/>
        </w:rPr>
        <w:t>interpreten la conducta de un niño víctima de abuso, como una elección libre sobre su sexualidad, y en consecuencia,</w:t>
      </w:r>
      <w:r w:rsidR="00823C97" w:rsidRPr="00416B64">
        <w:rPr>
          <w:rFonts w:cstheme="minorHAnsi"/>
          <w:sz w:val="24"/>
          <w:szCs w:val="24"/>
        </w:rPr>
        <w:t xml:space="preserve"> -</w:t>
      </w:r>
      <w:r w:rsidR="000C4887" w:rsidRPr="00416B64">
        <w:rPr>
          <w:rFonts w:cstheme="minorHAnsi"/>
          <w:sz w:val="24"/>
          <w:szCs w:val="24"/>
        </w:rPr>
        <w:t>y sumado a</w:t>
      </w:r>
      <w:r w:rsidR="00823C97" w:rsidRPr="00416B64">
        <w:rPr>
          <w:rFonts w:cstheme="minorHAnsi"/>
          <w:sz w:val="24"/>
          <w:szCs w:val="24"/>
        </w:rPr>
        <w:t xml:space="preserve"> </w:t>
      </w:r>
      <w:r w:rsidR="005A69B0" w:rsidRPr="00416B64">
        <w:rPr>
          <w:rFonts w:cstheme="minorHAnsi"/>
          <w:sz w:val="24"/>
          <w:szCs w:val="24"/>
        </w:rPr>
        <w:t>su supuesta orientación sexual-</w:t>
      </w:r>
      <w:r w:rsidR="00823C97" w:rsidRPr="00416B64">
        <w:rPr>
          <w:rFonts w:cstheme="minorHAnsi"/>
          <w:sz w:val="24"/>
          <w:szCs w:val="24"/>
        </w:rPr>
        <w:t xml:space="preserve"> </w:t>
      </w:r>
      <w:r w:rsidR="000C4887" w:rsidRPr="00416B64">
        <w:rPr>
          <w:rFonts w:cstheme="minorHAnsi"/>
          <w:sz w:val="24"/>
          <w:szCs w:val="24"/>
        </w:rPr>
        <w:t>consideren que la victimización sufrida es menor, vulnera</w:t>
      </w:r>
      <w:r w:rsidR="00823C97" w:rsidRPr="00416B64">
        <w:rPr>
          <w:rFonts w:cstheme="minorHAnsi"/>
          <w:sz w:val="24"/>
          <w:szCs w:val="24"/>
        </w:rPr>
        <w:t xml:space="preserve">ndo </w:t>
      </w:r>
      <w:r w:rsidR="005A69B0" w:rsidRPr="00416B64">
        <w:rPr>
          <w:rFonts w:cstheme="minorHAnsi"/>
          <w:sz w:val="24"/>
          <w:szCs w:val="24"/>
        </w:rPr>
        <w:t>los</w:t>
      </w:r>
      <w:r w:rsidR="000C4887" w:rsidRPr="00416B64">
        <w:rPr>
          <w:rFonts w:cstheme="minorHAnsi"/>
          <w:sz w:val="24"/>
          <w:szCs w:val="24"/>
        </w:rPr>
        <w:t xml:space="preserve"> </w:t>
      </w:r>
      <w:r w:rsidR="00823C97" w:rsidRPr="00416B64">
        <w:rPr>
          <w:rFonts w:cstheme="minorHAnsi"/>
          <w:sz w:val="24"/>
          <w:szCs w:val="24"/>
        </w:rPr>
        <w:t xml:space="preserve">derechos del niño víctima y omitiendo los más elementales saberes sobre este tipo de delitos. </w:t>
      </w:r>
    </w:p>
    <w:p w:rsidR="00416B64" w:rsidRPr="00416B64" w:rsidRDefault="00823C97" w:rsidP="00416B64">
      <w:pPr>
        <w:spacing w:after="120" w:line="240" w:lineRule="auto"/>
        <w:jc w:val="both"/>
        <w:rPr>
          <w:iCs/>
          <w:sz w:val="24"/>
          <w:szCs w:val="24"/>
        </w:rPr>
      </w:pPr>
      <w:r w:rsidRPr="00416B64">
        <w:rPr>
          <w:rFonts w:cstheme="minorHAnsi"/>
          <w:sz w:val="24"/>
          <w:szCs w:val="24"/>
        </w:rPr>
        <w:t xml:space="preserve">De esta manera, el niño es nuevamente victimizado por uno de los poderes del  Estado, que tiene la obligación, </w:t>
      </w:r>
      <w:r w:rsidR="00087C2D" w:rsidRPr="00416B64">
        <w:rPr>
          <w:rFonts w:cstheme="minorHAnsi"/>
          <w:sz w:val="24"/>
          <w:szCs w:val="24"/>
        </w:rPr>
        <w:t>atento a las normativas de nuestro país y a aquellas</w:t>
      </w:r>
      <w:r w:rsidRPr="00416B64">
        <w:rPr>
          <w:rFonts w:cstheme="minorHAnsi"/>
          <w:sz w:val="24"/>
          <w:szCs w:val="24"/>
        </w:rPr>
        <w:t xml:space="preserve"> con jerarquía internacional en la materia, de</w:t>
      </w:r>
      <w:r w:rsidR="005A69B0" w:rsidRPr="00416B64">
        <w:rPr>
          <w:iCs/>
          <w:sz w:val="24"/>
          <w:szCs w:val="24"/>
        </w:rPr>
        <w:t xml:space="preserve"> prevenir razonablemente</w:t>
      </w:r>
      <w:r w:rsidRPr="00416B64">
        <w:rPr>
          <w:iCs/>
          <w:sz w:val="24"/>
          <w:szCs w:val="24"/>
        </w:rPr>
        <w:t xml:space="preserve"> las violaciones de los derechos humanos, de investigar seriamente con los medios a su alcance</w:t>
      </w:r>
      <w:r w:rsidR="005A69B0" w:rsidRPr="00416B64">
        <w:rPr>
          <w:iCs/>
          <w:sz w:val="24"/>
          <w:szCs w:val="24"/>
        </w:rPr>
        <w:t>,</w:t>
      </w:r>
      <w:r w:rsidRPr="00416B64">
        <w:rPr>
          <w:iCs/>
          <w:sz w:val="24"/>
          <w:szCs w:val="24"/>
        </w:rPr>
        <w:t xml:space="preserve"> las violaciones que se hayan cometido dentro del ámbito de su jurisdicción a fin de identificar a los responsables</w:t>
      </w:r>
      <w:r w:rsidR="005A69B0" w:rsidRPr="00416B64">
        <w:rPr>
          <w:iCs/>
          <w:sz w:val="24"/>
          <w:szCs w:val="24"/>
        </w:rPr>
        <w:t xml:space="preserve"> </w:t>
      </w:r>
      <w:r w:rsidRPr="00416B64">
        <w:rPr>
          <w:iCs/>
          <w:sz w:val="24"/>
          <w:szCs w:val="24"/>
        </w:rPr>
        <w:t>e imponerles las sanciones pertinentes</w:t>
      </w:r>
      <w:r w:rsidR="005A69B0" w:rsidRPr="00416B64">
        <w:rPr>
          <w:iCs/>
          <w:sz w:val="24"/>
          <w:szCs w:val="24"/>
        </w:rPr>
        <w:t>,</w:t>
      </w:r>
      <w:r w:rsidRPr="00416B64">
        <w:rPr>
          <w:iCs/>
          <w:sz w:val="24"/>
          <w:szCs w:val="24"/>
        </w:rPr>
        <w:t xml:space="preserve"> y de asegurar a la víctima una adecuada reparación.</w:t>
      </w:r>
    </w:p>
    <w:p w:rsidR="00987768" w:rsidRPr="00416B64" w:rsidRDefault="00823C97" w:rsidP="00416B64">
      <w:pPr>
        <w:spacing w:after="120" w:line="240" w:lineRule="auto"/>
        <w:jc w:val="both"/>
        <w:rPr>
          <w:sz w:val="24"/>
          <w:szCs w:val="24"/>
        </w:rPr>
      </w:pPr>
      <w:r w:rsidRPr="00416B64">
        <w:rPr>
          <w:sz w:val="24"/>
          <w:szCs w:val="24"/>
        </w:rPr>
        <w:t xml:space="preserve">Preocupa aún más a esta Dirección, que uno de los jueces que </w:t>
      </w:r>
      <w:r w:rsidR="009A1330" w:rsidRPr="00416B64">
        <w:rPr>
          <w:sz w:val="24"/>
          <w:szCs w:val="24"/>
        </w:rPr>
        <w:t>ha dictado</w:t>
      </w:r>
      <w:r w:rsidRPr="00416B64">
        <w:rPr>
          <w:sz w:val="24"/>
          <w:szCs w:val="24"/>
        </w:rPr>
        <w:t xml:space="preserve"> este fallo,</w:t>
      </w:r>
      <w:r w:rsidR="00987768" w:rsidRPr="00416B64">
        <w:rPr>
          <w:sz w:val="24"/>
          <w:szCs w:val="24"/>
        </w:rPr>
        <w:t xml:space="preserve"> -y otro que adolecía de idénticos prejuicios, en el año 2011- </w:t>
      </w:r>
      <w:r w:rsidRPr="00416B64">
        <w:rPr>
          <w:sz w:val="24"/>
          <w:szCs w:val="24"/>
        </w:rPr>
        <w:t xml:space="preserve"> sea docente de la Universidad</w:t>
      </w:r>
      <w:r w:rsidR="009A1330" w:rsidRPr="00416B64">
        <w:rPr>
          <w:sz w:val="24"/>
          <w:szCs w:val="24"/>
        </w:rPr>
        <w:t xml:space="preserve"> Nacional</w:t>
      </w:r>
      <w:r w:rsidRPr="00416B64">
        <w:rPr>
          <w:sz w:val="24"/>
          <w:szCs w:val="24"/>
        </w:rPr>
        <w:t xml:space="preserve"> de La Plata, y por lo tanto, formador de las generaciones venideras de</w:t>
      </w:r>
      <w:r w:rsidR="005A69B0" w:rsidRPr="00416B64">
        <w:rPr>
          <w:sz w:val="24"/>
          <w:szCs w:val="24"/>
        </w:rPr>
        <w:t xml:space="preserve"> </w:t>
      </w:r>
      <w:r w:rsidRPr="00416B64">
        <w:rPr>
          <w:sz w:val="24"/>
          <w:szCs w:val="24"/>
        </w:rPr>
        <w:t>profesionales del derecho, q</w:t>
      </w:r>
      <w:r w:rsidR="00987768" w:rsidRPr="00416B64">
        <w:rPr>
          <w:sz w:val="24"/>
          <w:szCs w:val="24"/>
        </w:rPr>
        <w:t xml:space="preserve">ue formarán parte de este sistema judicial, con el consecuente riesgo de continuidad de prácticas </w:t>
      </w:r>
      <w:r w:rsidR="005A69B0" w:rsidRPr="00416B64">
        <w:rPr>
          <w:sz w:val="24"/>
          <w:szCs w:val="24"/>
        </w:rPr>
        <w:t>que no se condicen</w:t>
      </w:r>
      <w:r w:rsidR="001E5401" w:rsidRPr="00416B64">
        <w:rPr>
          <w:sz w:val="24"/>
          <w:szCs w:val="24"/>
        </w:rPr>
        <w:t xml:space="preserve"> con la garantía </w:t>
      </w:r>
      <w:r w:rsidR="009A1330" w:rsidRPr="00416B64">
        <w:rPr>
          <w:sz w:val="24"/>
          <w:szCs w:val="24"/>
        </w:rPr>
        <w:t xml:space="preserve">y el acceso a los derechos de la sociedad toda.     </w:t>
      </w:r>
    </w:p>
    <w:p w:rsidR="002D7056" w:rsidRPr="00416B64" w:rsidRDefault="002D7056" w:rsidP="00416B64">
      <w:pPr>
        <w:spacing w:after="120" w:line="240" w:lineRule="auto"/>
        <w:jc w:val="both"/>
        <w:rPr>
          <w:iCs/>
          <w:sz w:val="24"/>
          <w:szCs w:val="24"/>
        </w:rPr>
      </w:pPr>
      <w:r w:rsidRPr="00416B64">
        <w:rPr>
          <w:iCs/>
          <w:sz w:val="24"/>
          <w:szCs w:val="24"/>
        </w:rPr>
        <w:t>As</w:t>
      </w:r>
      <w:r w:rsidR="0056035E">
        <w:rPr>
          <w:iCs/>
          <w:sz w:val="24"/>
          <w:szCs w:val="24"/>
        </w:rPr>
        <w:t>i</w:t>
      </w:r>
      <w:bookmarkStart w:id="0" w:name="_GoBack"/>
      <w:bookmarkEnd w:id="0"/>
      <w:r w:rsidRPr="00416B64">
        <w:rPr>
          <w:iCs/>
          <w:sz w:val="24"/>
          <w:szCs w:val="24"/>
        </w:rPr>
        <w:t xml:space="preserve">mismo desde la Dirección General de Derechos Humanos de la UNLP hacemos un llamado a los distintos medios de comunicación y a los usuarios de las diferentes redes sociales a ser respetuosos de la intimidad de las víctimas de este tipo de hechos aberrantes, en este caso </w:t>
      </w:r>
      <w:r w:rsidR="009D6F48" w:rsidRPr="00416B64">
        <w:rPr>
          <w:iCs/>
          <w:sz w:val="24"/>
          <w:szCs w:val="24"/>
        </w:rPr>
        <w:t>ejercidos hacia</w:t>
      </w:r>
      <w:r w:rsidRPr="00416B64">
        <w:rPr>
          <w:iCs/>
          <w:sz w:val="24"/>
          <w:szCs w:val="24"/>
        </w:rPr>
        <w:t xml:space="preserve"> un niño.  El ejercicio de la violencia simbólica a través de mensajes, valores, opiniones cargadas de prejuicios</w:t>
      </w:r>
      <w:r w:rsidR="009D6F48" w:rsidRPr="00416B64">
        <w:rPr>
          <w:iCs/>
          <w:sz w:val="24"/>
          <w:szCs w:val="24"/>
        </w:rPr>
        <w:t>,</w:t>
      </w:r>
      <w:r w:rsidRPr="00416B64">
        <w:rPr>
          <w:iCs/>
          <w:sz w:val="24"/>
          <w:szCs w:val="24"/>
        </w:rPr>
        <w:t xml:space="preserve"> </w:t>
      </w:r>
      <w:r w:rsidR="009D6F48" w:rsidRPr="00416B64">
        <w:rPr>
          <w:iCs/>
          <w:sz w:val="24"/>
          <w:szCs w:val="24"/>
        </w:rPr>
        <w:t>reproduce</w:t>
      </w:r>
      <w:r w:rsidRPr="00416B64">
        <w:rPr>
          <w:iCs/>
          <w:sz w:val="24"/>
          <w:szCs w:val="24"/>
        </w:rPr>
        <w:t xml:space="preserve"> la desigualdad al momento de garantizar </w:t>
      </w:r>
      <w:r w:rsidR="009D6F48" w:rsidRPr="00416B64">
        <w:rPr>
          <w:iCs/>
          <w:sz w:val="24"/>
          <w:szCs w:val="24"/>
        </w:rPr>
        <w:t xml:space="preserve">la plena aplicación y respeto de </w:t>
      </w:r>
      <w:r w:rsidRPr="00416B64">
        <w:rPr>
          <w:iCs/>
          <w:sz w:val="24"/>
          <w:szCs w:val="24"/>
        </w:rPr>
        <w:t xml:space="preserve">los derechos humanos. </w:t>
      </w:r>
    </w:p>
    <w:sectPr w:rsidR="002D7056" w:rsidRPr="00416B64" w:rsidSect="00416B64">
      <w:headerReference w:type="default" r:id="rId8"/>
      <w:pgSz w:w="12240" w:h="15840"/>
      <w:pgMar w:top="1134" w:right="1077" w:bottom="1134" w:left="107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02" w:rsidRDefault="00051D02" w:rsidP="000C4887">
      <w:pPr>
        <w:spacing w:after="0" w:line="240" w:lineRule="auto"/>
      </w:pPr>
      <w:r>
        <w:separator/>
      </w:r>
    </w:p>
  </w:endnote>
  <w:endnote w:type="continuationSeparator" w:id="0">
    <w:p w:rsidR="00051D02" w:rsidRDefault="00051D02" w:rsidP="000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02" w:rsidRDefault="00051D02" w:rsidP="000C4887">
      <w:pPr>
        <w:spacing w:after="0" w:line="240" w:lineRule="auto"/>
      </w:pPr>
      <w:r>
        <w:separator/>
      </w:r>
    </w:p>
  </w:footnote>
  <w:footnote w:type="continuationSeparator" w:id="0">
    <w:p w:rsidR="00051D02" w:rsidRDefault="00051D02" w:rsidP="000C4887">
      <w:pPr>
        <w:spacing w:after="0" w:line="240" w:lineRule="auto"/>
      </w:pPr>
      <w:r>
        <w:continuationSeparator/>
      </w:r>
    </w:p>
  </w:footnote>
  <w:footnote w:id="1">
    <w:p w:rsidR="005A69B0" w:rsidRDefault="005A69B0">
      <w:pPr>
        <w:pStyle w:val="Textonotapie"/>
      </w:pPr>
      <w:r>
        <w:rPr>
          <w:rStyle w:val="Refdenotaalpie"/>
        </w:rPr>
        <w:footnoteRef/>
      </w:r>
      <w:r>
        <w:t xml:space="preserve"> “Niñas y niños abusados por adultos” es la definición correcta que plantea Eva Giberti.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B0" w:rsidRDefault="005A69B0" w:rsidP="00416B64">
    <w:pPr>
      <w:tabs>
        <w:tab w:val="left" w:pos="2640"/>
        <w:tab w:val="left" w:pos="3105"/>
        <w:tab w:val="left" w:pos="3225"/>
        <w:tab w:val="center" w:pos="4419"/>
      </w:tabs>
      <w:jc w:val="center"/>
      <w:rPr>
        <w:sz w:val="20"/>
        <w:szCs w:val="20"/>
      </w:rPr>
    </w:pPr>
    <w:r>
      <w:rPr>
        <w:noProof/>
        <w:color w:val="000080"/>
        <w:sz w:val="20"/>
        <w:szCs w:val="20"/>
      </w:rPr>
      <w:drawing>
        <wp:inline distT="0" distB="0" distL="0" distR="0" wp14:anchorId="00AF4862" wp14:editId="5F7884EE">
          <wp:extent cx="942975" cy="800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9B0" w:rsidRDefault="005A69B0" w:rsidP="00416B64">
    <w:pPr>
      <w:spacing w:after="0"/>
      <w:jc w:val="center"/>
      <w:rPr>
        <w:rFonts w:ascii="Constantia" w:hAnsi="Constantia" w:cs="Helvetica"/>
        <w:b/>
        <w:color w:val="000000"/>
        <w:sz w:val="20"/>
        <w:szCs w:val="20"/>
        <w:shd w:val="clear" w:color="auto" w:fill="FFFFFF"/>
      </w:rPr>
    </w:pPr>
    <w:r>
      <w:rPr>
        <w:rFonts w:ascii="Constantia" w:hAnsi="Constantia" w:cs="Helvetica"/>
        <w:b/>
        <w:color w:val="000000"/>
        <w:sz w:val="20"/>
        <w:szCs w:val="20"/>
        <w:shd w:val="clear" w:color="auto" w:fill="FFFFFF"/>
      </w:rPr>
      <w:t>UNIVERSIDAD NACIONAL DE LA PLATA</w:t>
    </w:r>
  </w:p>
  <w:p w:rsidR="005A69B0" w:rsidRDefault="005A69B0" w:rsidP="00416B64">
    <w:pPr>
      <w:spacing w:after="0"/>
      <w:jc w:val="center"/>
      <w:rPr>
        <w:rFonts w:ascii="Constantia" w:hAnsi="Constantia" w:cs="Helvetica"/>
        <w:b/>
        <w:color w:val="000000"/>
        <w:sz w:val="20"/>
        <w:szCs w:val="20"/>
        <w:shd w:val="clear" w:color="auto" w:fill="FFFFFF"/>
      </w:rPr>
    </w:pPr>
    <w:r>
      <w:rPr>
        <w:rFonts w:ascii="Constantia" w:hAnsi="Constantia" w:cs="Helvetica"/>
        <w:b/>
        <w:color w:val="000000"/>
        <w:sz w:val="20"/>
        <w:szCs w:val="20"/>
        <w:shd w:val="clear" w:color="auto" w:fill="FFFFFF"/>
      </w:rPr>
      <w:t>DIRECCIÓN GENERAL DE DERECHOS HUMANOS</w:t>
    </w:r>
  </w:p>
  <w:p w:rsidR="00416B64" w:rsidRPr="005A69B0" w:rsidRDefault="00416B64" w:rsidP="00416B64">
    <w:pPr>
      <w:spacing w:after="0"/>
      <w:jc w:val="center"/>
      <w:rPr>
        <w:rFonts w:ascii="Constantia" w:hAnsi="Constantia" w:cs="Helvetica"/>
        <w:b/>
        <w:color w:val="000000"/>
        <w:sz w:val="20"/>
        <w:szCs w:val="2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87"/>
    <w:rsid w:val="00051D02"/>
    <w:rsid w:val="00087C2D"/>
    <w:rsid w:val="000C4887"/>
    <w:rsid w:val="001E5401"/>
    <w:rsid w:val="002D7056"/>
    <w:rsid w:val="00373DAE"/>
    <w:rsid w:val="003F785B"/>
    <w:rsid w:val="00416B64"/>
    <w:rsid w:val="0056035E"/>
    <w:rsid w:val="005A69B0"/>
    <w:rsid w:val="005B1BF0"/>
    <w:rsid w:val="005B5562"/>
    <w:rsid w:val="005D2BFE"/>
    <w:rsid w:val="00727FB3"/>
    <w:rsid w:val="00750916"/>
    <w:rsid w:val="00823C97"/>
    <w:rsid w:val="00856457"/>
    <w:rsid w:val="00987768"/>
    <w:rsid w:val="009A1330"/>
    <w:rsid w:val="009D6F48"/>
    <w:rsid w:val="00BB4EE1"/>
    <w:rsid w:val="00BD0890"/>
    <w:rsid w:val="00C37355"/>
    <w:rsid w:val="00C50911"/>
    <w:rsid w:val="00F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4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488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4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C488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A13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3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3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3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3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33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F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F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6F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A6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B0"/>
  </w:style>
  <w:style w:type="paragraph" w:styleId="Piedepgina">
    <w:name w:val="footer"/>
    <w:basedOn w:val="Normal"/>
    <w:link w:val="PiedepginaCar"/>
    <w:uiPriority w:val="99"/>
    <w:unhideWhenUsed/>
    <w:rsid w:val="005A6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4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C488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C4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C488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A13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3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3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3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3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33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F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F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6F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A6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B0"/>
  </w:style>
  <w:style w:type="paragraph" w:styleId="Piedepgina">
    <w:name w:val="footer"/>
    <w:basedOn w:val="Normal"/>
    <w:link w:val="PiedepginaCar"/>
    <w:uiPriority w:val="99"/>
    <w:unhideWhenUsed/>
    <w:rsid w:val="005A6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FC9D-5CA8-4E8A-A68C-6A821D8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2015-05-19T13:11:00Z</dcterms:created>
  <dcterms:modified xsi:type="dcterms:W3CDTF">2015-05-19T13:11:00Z</dcterms:modified>
</cp:coreProperties>
</file>